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9A6" w:rsidRPr="00AC09E9" w:rsidRDefault="001459A6" w:rsidP="00AC09E9">
      <w:pPr>
        <w:pStyle w:val="Tekstpodstawowywcity"/>
        <w:spacing w:after="0"/>
        <w:ind w:left="0"/>
        <w:jc w:val="center"/>
        <w:rPr>
          <w:rFonts w:asciiTheme="minorHAnsi" w:eastAsia="Bookman Old Style" w:hAnsiTheme="minorHAnsi"/>
          <w:b/>
        </w:rPr>
      </w:pPr>
      <w:r w:rsidRPr="00AC09E9">
        <w:rPr>
          <w:rFonts w:asciiTheme="minorHAnsi" w:eastAsia="Bookman Old Style" w:hAnsiTheme="minorHAnsi"/>
          <w:b/>
        </w:rPr>
        <w:t>Załącznik 1</w:t>
      </w:r>
    </w:p>
    <w:p w:rsidR="00F35D3A" w:rsidRDefault="001459A6" w:rsidP="00AC09E9">
      <w:pPr>
        <w:pStyle w:val="Tekstpodstawowywcity"/>
        <w:spacing w:after="0"/>
        <w:ind w:left="0"/>
        <w:jc w:val="center"/>
        <w:rPr>
          <w:rFonts w:asciiTheme="minorHAnsi" w:eastAsia="Bookman Old Style" w:hAnsiTheme="minorHAnsi"/>
          <w:b/>
        </w:rPr>
      </w:pPr>
      <w:r w:rsidRPr="00AC09E9">
        <w:rPr>
          <w:rFonts w:asciiTheme="minorHAnsi" w:eastAsia="Bookman Old Style" w:hAnsiTheme="minorHAnsi"/>
          <w:b/>
        </w:rPr>
        <w:t xml:space="preserve">do zapytania w sprawie opracowania Strategii Rozwoju Gminy Radziejowice </w:t>
      </w:r>
    </w:p>
    <w:p w:rsidR="001459A6" w:rsidRPr="00AC09E9" w:rsidRDefault="001459A6" w:rsidP="00AC09E9">
      <w:pPr>
        <w:pStyle w:val="Tekstpodstawowywcity"/>
        <w:spacing w:after="0"/>
        <w:ind w:left="0"/>
        <w:jc w:val="center"/>
        <w:rPr>
          <w:rFonts w:asciiTheme="minorHAnsi" w:eastAsia="Bookman Old Style" w:hAnsiTheme="minorHAnsi"/>
          <w:b/>
        </w:rPr>
      </w:pPr>
      <w:r w:rsidRPr="00AC09E9">
        <w:rPr>
          <w:rFonts w:asciiTheme="minorHAnsi" w:eastAsia="Bookman Old Style" w:hAnsiTheme="minorHAnsi"/>
          <w:b/>
        </w:rPr>
        <w:t>na lata 2016-2026</w:t>
      </w:r>
    </w:p>
    <w:p w:rsidR="003F6184" w:rsidRPr="00AC09E9" w:rsidRDefault="003F6184" w:rsidP="00AC09E9">
      <w:pPr>
        <w:pStyle w:val="Tekstpodstawowywcity"/>
        <w:spacing w:after="0"/>
        <w:ind w:left="0"/>
        <w:jc w:val="center"/>
        <w:rPr>
          <w:rFonts w:asciiTheme="minorHAnsi" w:eastAsia="Bookman Old Style" w:hAnsiTheme="minorHAnsi"/>
          <w:b/>
        </w:rPr>
      </w:pPr>
    </w:p>
    <w:p w:rsidR="003F6184" w:rsidRPr="00AC09E9" w:rsidRDefault="003F6184" w:rsidP="00AC09E9">
      <w:pPr>
        <w:pStyle w:val="Tekstpodstawowywcity"/>
        <w:spacing w:after="0"/>
        <w:ind w:left="0"/>
        <w:jc w:val="center"/>
        <w:rPr>
          <w:rFonts w:asciiTheme="minorHAnsi" w:eastAsia="Bookman Old Style" w:hAnsiTheme="minorHAnsi"/>
          <w:b/>
        </w:rPr>
      </w:pPr>
      <w:r w:rsidRPr="00AC09E9">
        <w:rPr>
          <w:rFonts w:asciiTheme="minorHAnsi" w:eastAsia="Bookman Old Style" w:hAnsiTheme="minorHAnsi"/>
          <w:b/>
        </w:rPr>
        <w:t>Przedmiot zamówienia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 xml:space="preserve">Przedmiotem zamówienia jest opracowanie Strategii Rozwoju Gminy </w:t>
      </w:r>
      <w:r w:rsidR="001459A6" w:rsidRPr="00AC09E9">
        <w:rPr>
          <w:rFonts w:eastAsia="Times New Roman" w:cs="Times New Roman"/>
          <w:sz w:val="24"/>
          <w:szCs w:val="24"/>
          <w:lang w:eastAsia="pl-PL"/>
        </w:rPr>
        <w:t>Radziejowice na lata 2016</w:t>
      </w:r>
      <w:r w:rsidRPr="00AC09E9">
        <w:rPr>
          <w:rFonts w:eastAsia="Times New Roman" w:cs="Times New Roman"/>
          <w:sz w:val="24"/>
          <w:szCs w:val="24"/>
          <w:lang w:eastAsia="pl-PL"/>
        </w:rPr>
        <w:t>-202</w:t>
      </w:r>
      <w:r w:rsidR="001459A6" w:rsidRPr="00AC09E9">
        <w:rPr>
          <w:rFonts w:eastAsia="Times New Roman" w:cs="Times New Roman"/>
          <w:sz w:val="24"/>
          <w:szCs w:val="24"/>
          <w:lang w:eastAsia="pl-PL"/>
        </w:rPr>
        <w:t>6</w:t>
      </w:r>
      <w:r w:rsidRPr="00AC09E9">
        <w:rPr>
          <w:rFonts w:eastAsia="Times New Roman" w:cs="Times New Roman"/>
          <w:sz w:val="24"/>
          <w:szCs w:val="24"/>
          <w:lang w:eastAsia="pl-PL"/>
        </w:rPr>
        <w:t>, zwanej dalej Strategią, wraz ze sporządzeniem prognozy oddziaływania na środowisko (na podstawie art. 46 oraz art. 51 ustawy o udostępnianiu informacji o środowisku i jego ochronie, udziale społeczeństwa w ochronie środowiska oraz o ocenach oddziaływania na środowisko – Dz. U. z 2013 r. poz.1235 ze zm.).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Zadaniem Wykonawcy będzie opracowanie Strategii, która winna być zgodna z aktualnymi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unijnymi i krajowymi dokumentami strategicznymi wyższego rzędu, w tym m.in.:</w:t>
      </w:r>
    </w:p>
    <w:p w:rsidR="009D330C" w:rsidRPr="00AC09E9" w:rsidRDefault="009D330C" w:rsidP="00AC09E9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Europa 2020;</w:t>
      </w:r>
    </w:p>
    <w:p w:rsidR="009D330C" w:rsidRPr="00AC09E9" w:rsidRDefault="009D330C" w:rsidP="00AC09E9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Strategia Rozwoju Kraju do roku 2020;</w:t>
      </w:r>
    </w:p>
    <w:p w:rsidR="009D330C" w:rsidRPr="00AC09E9" w:rsidRDefault="00F94F5F" w:rsidP="00AC09E9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Raport „Polska 2030.</w:t>
      </w:r>
      <w:r w:rsidR="009D330C" w:rsidRPr="00AC09E9">
        <w:rPr>
          <w:rFonts w:eastAsia="Times New Roman" w:cs="Times New Roman"/>
          <w:sz w:val="24"/>
          <w:szCs w:val="24"/>
          <w:lang w:eastAsia="pl-PL"/>
        </w:rPr>
        <w:t xml:space="preserve"> Wyzwania rozwojowe.”;</w:t>
      </w:r>
    </w:p>
    <w:p w:rsidR="009D330C" w:rsidRPr="00AC09E9" w:rsidRDefault="009D330C" w:rsidP="00AC09E9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Koncepcja Przestrzennego Zagospodarowania Kraju 2030;</w:t>
      </w:r>
    </w:p>
    <w:p w:rsidR="009D330C" w:rsidRPr="00AC09E9" w:rsidRDefault="009D330C" w:rsidP="00AC09E9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Krajowa Strategia Rozwoju Regionalnego 2010-2020: Regiony, Miasta, Obszary Wiejskie (KSRR);</w:t>
      </w:r>
    </w:p>
    <w:p w:rsidR="009D330C" w:rsidRPr="00AC09E9" w:rsidRDefault="009D330C" w:rsidP="00AC09E9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Polityka Transportowa Państwa;</w:t>
      </w:r>
    </w:p>
    <w:p w:rsidR="009D330C" w:rsidRPr="00AC09E9" w:rsidRDefault="009D330C" w:rsidP="00AC09E9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Strategia Rozwoju Województwa Mazowieckiego do roku 2030;</w:t>
      </w:r>
    </w:p>
    <w:p w:rsidR="009D330C" w:rsidRPr="00AC09E9" w:rsidRDefault="009D330C" w:rsidP="00AC09E9">
      <w:pPr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Strat</w:t>
      </w:r>
      <w:r w:rsidR="001459A6" w:rsidRPr="00AC09E9">
        <w:rPr>
          <w:rFonts w:eastAsia="Times New Roman" w:cs="Times New Roman"/>
          <w:sz w:val="24"/>
          <w:szCs w:val="24"/>
          <w:lang w:eastAsia="pl-PL"/>
        </w:rPr>
        <w:t xml:space="preserve">egia Rozwoju Powiatu Żyrardowskiego do roku </w:t>
      </w:r>
      <w:r w:rsidR="00F94F5F" w:rsidRPr="00AC09E9">
        <w:rPr>
          <w:rFonts w:eastAsia="Times New Roman" w:cs="Times New Roman"/>
          <w:sz w:val="24"/>
          <w:szCs w:val="24"/>
          <w:lang w:eastAsia="pl-PL"/>
        </w:rPr>
        <w:t>2025</w:t>
      </w:r>
      <w:r w:rsidRPr="00AC09E9">
        <w:rPr>
          <w:rFonts w:eastAsia="Times New Roman" w:cs="Times New Roman"/>
          <w:sz w:val="24"/>
          <w:szCs w:val="24"/>
          <w:lang w:eastAsia="pl-PL"/>
        </w:rPr>
        <w:t>;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 xml:space="preserve">Treść Strategii musi być także spójna z obowiązującymi w Gminie </w:t>
      </w:r>
      <w:r w:rsidR="001459A6" w:rsidRPr="00AC09E9">
        <w:rPr>
          <w:rFonts w:eastAsia="Times New Roman" w:cs="Times New Roman"/>
          <w:sz w:val="24"/>
          <w:szCs w:val="24"/>
          <w:lang w:eastAsia="pl-PL"/>
        </w:rPr>
        <w:t xml:space="preserve">Radziejowice </w:t>
      </w:r>
      <w:r w:rsidRPr="00AC09E9">
        <w:rPr>
          <w:rFonts w:eastAsia="Times New Roman" w:cs="Times New Roman"/>
          <w:sz w:val="24"/>
          <w:szCs w:val="24"/>
          <w:lang w:eastAsia="pl-PL"/>
        </w:rPr>
        <w:t xml:space="preserve">lokalnymi dokumentami planistycznymi i strategicznymi, które są dostępne w siedzibie Zamawiającego oraz na stronie internetowej </w:t>
      </w:r>
      <w:hyperlink r:id="rId7" w:history="1">
        <w:r w:rsidR="001459A6" w:rsidRPr="00AC09E9">
          <w:rPr>
            <w:rStyle w:val="Hipercze"/>
            <w:rFonts w:eastAsia="Times New Roman" w:cs="Times New Roman"/>
            <w:sz w:val="24"/>
            <w:szCs w:val="24"/>
            <w:lang w:eastAsia="pl-PL"/>
          </w:rPr>
          <w:t>www.bip.radziejowice.pl</w:t>
        </w:r>
      </w:hyperlink>
      <w:r w:rsidRPr="00AC09E9">
        <w:rPr>
          <w:rFonts w:eastAsia="Times New Roman" w:cs="Times New Roman"/>
          <w:sz w:val="24"/>
          <w:szCs w:val="24"/>
          <w:lang w:eastAsia="pl-PL"/>
        </w:rPr>
        <w:t>.</w:t>
      </w:r>
    </w:p>
    <w:p w:rsidR="009D330C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 xml:space="preserve">3. Do oferty </w:t>
      </w:r>
      <w:r w:rsidR="00AC09E9">
        <w:rPr>
          <w:rFonts w:eastAsia="Times New Roman" w:cs="Times New Roman"/>
          <w:sz w:val="24"/>
          <w:szCs w:val="24"/>
          <w:lang w:eastAsia="pl-PL"/>
        </w:rPr>
        <w:t xml:space="preserve"> należy </w:t>
      </w:r>
      <w:r w:rsidRPr="00AC09E9">
        <w:rPr>
          <w:rFonts w:eastAsia="Times New Roman" w:cs="Times New Roman"/>
          <w:sz w:val="24"/>
          <w:szCs w:val="24"/>
          <w:lang w:eastAsia="pl-PL"/>
        </w:rPr>
        <w:t xml:space="preserve">dołączyć </w:t>
      </w:r>
      <w:r w:rsidR="00AC09E9">
        <w:rPr>
          <w:rFonts w:eastAsia="Times New Roman" w:cs="Times New Roman"/>
          <w:sz w:val="24"/>
          <w:szCs w:val="24"/>
          <w:lang w:eastAsia="pl-PL"/>
        </w:rPr>
        <w:t xml:space="preserve">metodologię  opracowania </w:t>
      </w:r>
      <w:r w:rsidRPr="00AC09E9">
        <w:rPr>
          <w:rFonts w:eastAsia="Times New Roman" w:cs="Times New Roman"/>
          <w:sz w:val="24"/>
          <w:szCs w:val="24"/>
          <w:lang w:eastAsia="pl-PL"/>
        </w:rPr>
        <w:t xml:space="preserve">Strategii, która winna </w:t>
      </w:r>
      <w:r w:rsidR="00AC09E9">
        <w:rPr>
          <w:rFonts w:eastAsia="Times New Roman" w:cs="Times New Roman"/>
          <w:sz w:val="24"/>
          <w:szCs w:val="24"/>
          <w:lang w:eastAsia="pl-PL"/>
        </w:rPr>
        <w:t xml:space="preserve"> w swoim zakresie obejmować co najmniej:</w:t>
      </w:r>
    </w:p>
    <w:p w:rsidR="00AC09E9" w:rsidRPr="00AC09E9" w:rsidRDefault="00AC09E9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b/>
          <w:bCs/>
          <w:sz w:val="24"/>
          <w:szCs w:val="24"/>
          <w:lang w:eastAsia="pl-PL"/>
        </w:rPr>
        <w:t>I. Raport stanu. Analiza i diagnoza strategiczna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1. Przestrzeń i środowisko</w:t>
      </w:r>
    </w:p>
    <w:p w:rsidR="009D330C" w:rsidRPr="00AC09E9" w:rsidRDefault="009D330C" w:rsidP="00AC09E9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Położenie administracyjne i geograficzne</w:t>
      </w:r>
    </w:p>
    <w:p w:rsidR="009D330C" w:rsidRPr="00AC09E9" w:rsidRDefault="009D330C" w:rsidP="00AC09E9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Położenie komunikacyjne</w:t>
      </w:r>
    </w:p>
    <w:p w:rsidR="009D330C" w:rsidRPr="00AC09E9" w:rsidRDefault="009D330C" w:rsidP="00AC09E9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Walory przyrodnicze</w:t>
      </w:r>
    </w:p>
    <w:p w:rsidR="009D330C" w:rsidRPr="00AC09E9" w:rsidRDefault="009D330C" w:rsidP="00AC09E9">
      <w:pPr>
        <w:numPr>
          <w:ilvl w:val="0"/>
          <w:numId w:val="3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Walory kulturowe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2. Społeczeństwo</w:t>
      </w:r>
    </w:p>
    <w:p w:rsidR="009D330C" w:rsidRPr="00AC09E9" w:rsidRDefault="009D330C" w:rsidP="00AC09E9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Demografia</w:t>
      </w:r>
    </w:p>
    <w:p w:rsidR="009D330C" w:rsidRPr="00AC09E9" w:rsidRDefault="009D330C" w:rsidP="00AC09E9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Wiek i struktura wykształcenia mieszkańców</w:t>
      </w:r>
    </w:p>
    <w:p w:rsidR="009D330C" w:rsidRPr="00AC09E9" w:rsidRDefault="009D330C" w:rsidP="00AC09E9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Gospodarstwa domowe oraz źródła ich utrzymania</w:t>
      </w:r>
    </w:p>
    <w:p w:rsidR="009D330C" w:rsidRPr="00AC09E9" w:rsidRDefault="009D330C" w:rsidP="00AC09E9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Mieszkalnictwo</w:t>
      </w:r>
    </w:p>
    <w:p w:rsidR="009D330C" w:rsidRPr="00AC09E9" w:rsidRDefault="009D330C" w:rsidP="00AC09E9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Struktura zatrudnienia i rynek pracy</w:t>
      </w:r>
    </w:p>
    <w:p w:rsidR="009D330C" w:rsidRPr="00AC09E9" w:rsidRDefault="009D330C" w:rsidP="00AC09E9">
      <w:pPr>
        <w:numPr>
          <w:ilvl w:val="0"/>
          <w:numId w:val="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Bezrobocie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3. Gospodarka</w:t>
      </w:r>
    </w:p>
    <w:p w:rsidR="009D330C" w:rsidRPr="00AC09E9" w:rsidRDefault="009D330C" w:rsidP="00AC09E9">
      <w:pPr>
        <w:numPr>
          <w:ilvl w:val="0"/>
          <w:numId w:val="5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Rolnictwo</w:t>
      </w:r>
    </w:p>
    <w:p w:rsidR="009D330C" w:rsidRPr="00AC09E9" w:rsidRDefault="009D330C" w:rsidP="00AC09E9">
      <w:pPr>
        <w:numPr>
          <w:ilvl w:val="0"/>
          <w:numId w:val="5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Przedsiębiorczość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4. Infrastruktura techniczna</w:t>
      </w:r>
    </w:p>
    <w:p w:rsidR="009D330C" w:rsidRPr="00AC09E9" w:rsidRDefault="009D330C" w:rsidP="00AC09E9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Infrastruktura transportowa i komunikacyjna</w:t>
      </w:r>
    </w:p>
    <w:p w:rsidR="009D330C" w:rsidRPr="00AC09E9" w:rsidRDefault="009D330C" w:rsidP="00AC09E9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Gospodarka wodno-ściekowa</w:t>
      </w:r>
    </w:p>
    <w:p w:rsidR="009D330C" w:rsidRPr="00AC09E9" w:rsidRDefault="009D330C" w:rsidP="00AC09E9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lastRenderedPageBreak/>
        <w:t>Gospodarka odpadami</w:t>
      </w:r>
    </w:p>
    <w:p w:rsidR="009D330C" w:rsidRPr="00AC09E9" w:rsidRDefault="009D330C" w:rsidP="00AC09E9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Infrastruktura elektroenergetyczna i gazowa</w:t>
      </w:r>
    </w:p>
    <w:p w:rsidR="009D330C" w:rsidRPr="00AC09E9" w:rsidRDefault="009D330C" w:rsidP="00AC09E9">
      <w:pPr>
        <w:numPr>
          <w:ilvl w:val="0"/>
          <w:numId w:val="6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Infrastruktura telekomunikacyjna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5. Infrastruktura społeczna</w:t>
      </w:r>
    </w:p>
    <w:p w:rsidR="009D330C" w:rsidRPr="00AC09E9" w:rsidRDefault="009D330C" w:rsidP="00AC09E9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Infrastruktura edukacyjne</w:t>
      </w:r>
    </w:p>
    <w:p w:rsidR="009D330C" w:rsidRPr="00AC09E9" w:rsidRDefault="009D330C" w:rsidP="00AC09E9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Infrastruktura sportowa</w:t>
      </w:r>
    </w:p>
    <w:p w:rsidR="009D330C" w:rsidRPr="00AC09E9" w:rsidRDefault="009D330C" w:rsidP="00AC09E9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Infrastruktura kultury</w:t>
      </w:r>
    </w:p>
    <w:p w:rsidR="009D330C" w:rsidRPr="00AC09E9" w:rsidRDefault="009D330C" w:rsidP="00AC09E9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Infrastruktura ochrony zdrowia i opieki społecznej</w:t>
      </w:r>
    </w:p>
    <w:p w:rsidR="009D330C" w:rsidRPr="00AC09E9" w:rsidRDefault="009D330C" w:rsidP="00AC09E9">
      <w:pPr>
        <w:numPr>
          <w:ilvl w:val="0"/>
          <w:numId w:val="7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Infrastruktura bezpieczeństwa publicznego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6. Jakość rządzenia</w:t>
      </w:r>
    </w:p>
    <w:p w:rsidR="009D330C" w:rsidRPr="00AC09E9" w:rsidRDefault="009D330C" w:rsidP="00AC09E9">
      <w:pPr>
        <w:numPr>
          <w:ilvl w:val="0"/>
          <w:numId w:val="8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Analiza zdolności inwestycyjnej</w:t>
      </w:r>
    </w:p>
    <w:p w:rsidR="009D330C" w:rsidRPr="00AC09E9" w:rsidRDefault="009D330C" w:rsidP="00AC09E9">
      <w:pPr>
        <w:numPr>
          <w:ilvl w:val="0"/>
          <w:numId w:val="8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Jakość kapitału społecznego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7. Podsumowanie analizy i diagnozy</w:t>
      </w:r>
    </w:p>
    <w:p w:rsidR="009D330C" w:rsidRPr="00AC09E9" w:rsidRDefault="009D330C" w:rsidP="00AC09E9">
      <w:pPr>
        <w:numPr>
          <w:ilvl w:val="0"/>
          <w:numId w:val="9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Analiza SWOT</w:t>
      </w:r>
    </w:p>
    <w:p w:rsidR="009D330C" w:rsidRPr="00AC09E9" w:rsidRDefault="009D330C" w:rsidP="00AC09E9">
      <w:pPr>
        <w:numPr>
          <w:ilvl w:val="0"/>
          <w:numId w:val="9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Analiza SWOT/TOWS</w:t>
      </w:r>
    </w:p>
    <w:p w:rsidR="009D330C" w:rsidRPr="00AC09E9" w:rsidRDefault="009D330C" w:rsidP="00AC09E9">
      <w:pPr>
        <w:numPr>
          <w:ilvl w:val="0"/>
          <w:numId w:val="9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Analiza potencjału jakości życia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b/>
          <w:bCs/>
          <w:sz w:val="24"/>
          <w:szCs w:val="24"/>
          <w:lang w:eastAsia="pl-PL"/>
        </w:rPr>
        <w:t> 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b/>
          <w:bCs/>
          <w:sz w:val="24"/>
          <w:szCs w:val="24"/>
          <w:lang w:eastAsia="pl-PL"/>
        </w:rPr>
        <w:t>II. Rozwój strategiczny w latach 201</w:t>
      </w:r>
      <w:r w:rsidR="001459A6" w:rsidRPr="00AC09E9">
        <w:rPr>
          <w:rFonts w:eastAsia="Times New Roman" w:cs="Times New Roman"/>
          <w:b/>
          <w:bCs/>
          <w:sz w:val="24"/>
          <w:szCs w:val="24"/>
          <w:lang w:eastAsia="pl-PL"/>
        </w:rPr>
        <w:t>6 – 2026</w:t>
      </w:r>
    </w:p>
    <w:p w:rsidR="009D330C" w:rsidRPr="00AC09E9" w:rsidRDefault="009D330C" w:rsidP="00AC09E9">
      <w:pPr>
        <w:numPr>
          <w:ilvl w:val="0"/>
          <w:numId w:val="10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Wizja rozwoju</w:t>
      </w:r>
    </w:p>
    <w:p w:rsidR="009D330C" w:rsidRPr="00AC09E9" w:rsidRDefault="009D330C" w:rsidP="00AC09E9">
      <w:pPr>
        <w:numPr>
          <w:ilvl w:val="0"/>
          <w:numId w:val="10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Misja oraz cele strategii</w:t>
      </w:r>
    </w:p>
    <w:p w:rsidR="009D330C" w:rsidRPr="00AC09E9" w:rsidRDefault="009D330C" w:rsidP="00AC09E9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Misja rozwoju</w:t>
      </w:r>
    </w:p>
    <w:p w:rsidR="009D330C" w:rsidRPr="00AC09E9" w:rsidRDefault="009D330C" w:rsidP="00AC09E9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Cele strategiczne</w:t>
      </w:r>
    </w:p>
    <w:p w:rsidR="009D330C" w:rsidRPr="00AC09E9" w:rsidRDefault="009D330C" w:rsidP="00AC09E9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Cele operacyjne</w:t>
      </w:r>
    </w:p>
    <w:p w:rsidR="009D330C" w:rsidRPr="00AC09E9" w:rsidRDefault="009D330C" w:rsidP="00AC09E9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Zadania w ramach poszczególnych celów strategicznych i operacyjnych</w:t>
      </w:r>
    </w:p>
    <w:p w:rsidR="009D330C" w:rsidRPr="00AC09E9" w:rsidRDefault="009D330C" w:rsidP="00AC09E9">
      <w:pPr>
        <w:numPr>
          <w:ilvl w:val="0"/>
          <w:numId w:val="11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Analiza WiP: ważności (istotności) i prawdopodobieństwa działań strategicznych</w:t>
      </w:r>
    </w:p>
    <w:p w:rsidR="009D330C" w:rsidRPr="00F35D3A" w:rsidRDefault="009D330C" w:rsidP="00F35D3A">
      <w:pPr>
        <w:pStyle w:val="Akapitzlist"/>
        <w:numPr>
          <w:ilvl w:val="0"/>
          <w:numId w:val="10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F35D3A">
        <w:rPr>
          <w:rFonts w:eastAsia="Times New Roman" w:cs="Times New Roman"/>
          <w:sz w:val="24"/>
          <w:szCs w:val="24"/>
          <w:lang w:eastAsia="pl-PL"/>
        </w:rPr>
        <w:t>System wdrażania i finansowania Strategii</w:t>
      </w:r>
    </w:p>
    <w:p w:rsidR="009D330C" w:rsidRPr="00AC09E9" w:rsidRDefault="009D330C" w:rsidP="00AC09E9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Kluczowe instytucje i podmioty zaangażowane w proces wdrażania Strategii</w:t>
      </w:r>
    </w:p>
    <w:p w:rsidR="009D330C" w:rsidRPr="00AC09E9" w:rsidRDefault="009D330C" w:rsidP="00AC09E9">
      <w:pPr>
        <w:numPr>
          <w:ilvl w:val="0"/>
          <w:numId w:val="13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Główne źródła finansowania Strategii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b/>
          <w:bCs/>
          <w:sz w:val="24"/>
          <w:szCs w:val="24"/>
          <w:lang w:eastAsia="pl-PL"/>
        </w:rPr>
        <w:t> 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b/>
          <w:bCs/>
          <w:sz w:val="24"/>
          <w:szCs w:val="24"/>
          <w:lang w:eastAsia="pl-PL"/>
        </w:rPr>
        <w:t>III. Plan zadań inwestycyjny na lata 201</w:t>
      </w:r>
      <w:r w:rsidR="001459A6" w:rsidRPr="00AC09E9">
        <w:rPr>
          <w:rFonts w:eastAsia="Times New Roman" w:cs="Times New Roman"/>
          <w:b/>
          <w:bCs/>
          <w:sz w:val="24"/>
          <w:szCs w:val="24"/>
          <w:lang w:eastAsia="pl-PL"/>
        </w:rPr>
        <w:t>6</w:t>
      </w:r>
      <w:r w:rsidRPr="00AC09E9">
        <w:rPr>
          <w:rFonts w:eastAsia="Times New Roman" w:cs="Times New Roman"/>
          <w:b/>
          <w:bCs/>
          <w:sz w:val="24"/>
          <w:szCs w:val="24"/>
          <w:lang w:eastAsia="pl-PL"/>
        </w:rPr>
        <w:t>-202</w:t>
      </w:r>
      <w:r w:rsidR="001459A6" w:rsidRPr="00AC09E9">
        <w:rPr>
          <w:rFonts w:eastAsia="Times New Roman" w:cs="Times New Roman"/>
          <w:b/>
          <w:bCs/>
          <w:sz w:val="24"/>
          <w:szCs w:val="24"/>
          <w:lang w:eastAsia="pl-PL"/>
        </w:rPr>
        <w:t>6</w:t>
      </w:r>
      <w:r w:rsidRPr="00AC09E9">
        <w:rPr>
          <w:rFonts w:eastAsia="Times New Roman" w:cs="Times New Roman"/>
          <w:sz w:val="24"/>
          <w:szCs w:val="24"/>
          <w:lang w:eastAsia="pl-PL"/>
        </w:rPr>
        <w:t xml:space="preserve"> (winien np. zawierać listę zadań wraz z określeniem czasu ich realizacji, szacunkowych kwot, funduszy unijnych, z których można pozyskać ewentualne dofinansowanie).</w:t>
      </w:r>
    </w:p>
    <w:p w:rsidR="009D330C" w:rsidRPr="00AC09E9" w:rsidRDefault="009D330C" w:rsidP="00AC09E9">
      <w:pPr>
        <w:numPr>
          <w:ilvl w:val="0"/>
          <w:numId w:val="14"/>
        </w:num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Do oferty należy dołączyć propozycję koncepcji konsultacji społecznych, która winna zawierać minimalny zakres np. w układzie: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1) Konsultacje społeczne Strategii;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2) Wnioski z konsultacji społecznych;</w:t>
      </w:r>
    </w:p>
    <w:p w:rsidR="009D330C" w:rsidRPr="00AC09E9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3) Podsumowanie – rekomendacje dla wprowadzenia uwag oraz uzasadnienie dla uwag</w:t>
      </w:r>
    </w:p>
    <w:p w:rsidR="009D330C" w:rsidRDefault="009D330C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niewprowadzonych.</w:t>
      </w:r>
    </w:p>
    <w:p w:rsidR="00AC09E9" w:rsidRDefault="00AC09E9" w:rsidP="00AC09E9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AC09E9" w:rsidRPr="00AC09E9" w:rsidRDefault="00AC09E9" w:rsidP="00AC09E9">
      <w:pPr>
        <w:spacing w:after="0" w:line="240" w:lineRule="auto"/>
        <w:rPr>
          <w:rFonts w:eastAsia="Times New Roman" w:cs="Times New Roman"/>
          <w:b/>
          <w:sz w:val="24"/>
          <w:szCs w:val="24"/>
          <w:lang w:eastAsia="pl-PL"/>
        </w:rPr>
      </w:pPr>
      <w:r w:rsidRPr="00AC09E9">
        <w:rPr>
          <w:rFonts w:eastAsia="Times New Roman" w:cs="Times New Roman"/>
          <w:b/>
          <w:sz w:val="24"/>
          <w:szCs w:val="24"/>
          <w:lang w:eastAsia="pl-PL"/>
        </w:rPr>
        <w:t>Obowiązki Wykonawcy: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Wykonawca będzie zobowiązany do złożenia pisemnego oświadczenia, że opracowany dokument Strategii jest kompletny oraz, że jest zgodny z</w:t>
      </w:r>
      <w:r w:rsidR="00AC09E9" w:rsidRPr="00AC09E9">
        <w:rPr>
          <w:rFonts w:eastAsia="Times New Roman" w:cs="Times New Roman"/>
          <w:sz w:val="24"/>
          <w:szCs w:val="24"/>
          <w:lang w:eastAsia="pl-PL"/>
        </w:rPr>
        <w:t xml:space="preserve">  aktualnymi</w:t>
      </w:r>
      <w:r w:rsidR="00AC09E9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AC09E9" w:rsidRPr="00AC09E9">
        <w:rPr>
          <w:rFonts w:eastAsia="Times New Roman" w:cs="Times New Roman"/>
          <w:sz w:val="24"/>
          <w:szCs w:val="24"/>
          <w:lang w:eastAsia="pl-PL"/>
        </w:rPr>
        <w:t>unijnymi i krajowymi dokumentami strategicznymi wyższego rzędu</w:t>
      </w:r>
      <w:r w:rsidR="00AC09E9">
        <w:rPr>
          <w:rFonts w:eastAsia="Times New Roman" w:cs="Times New Roman"/>
          <w:sz w:val="24"/>
          <w:szCs w:val="24"/>
          <w:lang w:eastAsia="pl-PL"/>
        </w:rPr>
        <w:t>.</w:t>
      </w:r>
    </w:p>
    <w:p w:rsidR="00AC09E9" w:rsidRDefault="00AC09E9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 xml:space="preserve">W ramach opracowania Strategii Wykonawca będzie zobowiązany do realizacji warsztatów strategicznych, w których udział wezmą przedstawiciele m.in. następujących grup: </w:t>
      </w:r>
      <w:r w:rsidRPr="00AC09E9">
        <w:rPr>
          <w:rFonts w:eastAsia="Times New Roman" w:cs="Times New Roman"/>
          <w:sz w:val="24"/>
          <w:szCs w:val="24"/>
          <w:lang w:eastAsia="pl-PL"/>
        </w:rPr>
        <w:lastRenderedPageBreak/>
        <w:t>administracji samorządowej, przedsiębiorców, przedstawicieli organizacji pozarządowych, lokalnych liderów oraz mieszkańców. Wykonawca zobowiązany jest do przeprowadzenia warsztatów strategicznych z ww. przedstawicielami, przy czym np. jedno spotkanie będzie miało na celu przedstawienie i konsultację koncepcji opracowania, drugie będzie włączało interesariuszy w budowanie strategii, a trzecie będzie dotyczyć prezentacji uzyskanych wyników i konsultacji projektu Strategii, itp.</w:t>
      </w:r>
    </w:p>
    <w:p w:rsidR="00AC09E9" w:rsidRDefault="00AC09E9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Wykonawca zobowiąże się do przeprowadzenia szeroko rozumianego procesu konsultacji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 xml:space="preserve">społecznych, mającego na celu informowanie mieszkańców Gminy </w:t>
      </w:r>
      <w:r w:rsidR="001459A6" w:rsidRPr="00AC09E9">
        <w:rPr>
          <w:rFonts w:eastAsia="Times New Roman" w:cs="Times New Roman"/>
          <w:sz w:val="24"/>
          <w:szCs w:val="24"/>
          <w:lang w:eastAsia="pl-PL"/>
        </w:rPr>
        <w:t xml:space="preserve">Radziejowice </w:t>
      </w:r>
      <w:r w:rsidRPr="00AC09E9">
        <w:rPr>
          <w:rFonts w:eastAsia="Times New Roman" w:cs="Times New Roman"/>
          <w:sz w:val="24"/>
          <w:szCs w:val="24"/>
          <w:lang w:eastAsia="pl-PL"/>
        </w:rPr>
        <w:t>o toczącym się procesie opracowywania Strategii, a także przygotowania na potrzeby organizowanych warsztatów strategicznych prezentacji multimedialnych, broszur informacyjnych dla różnych grup odbiorców (m.in. mieszkańców, przedsiębiorców, sołtysów).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Proces konsultacji społecznych winien odzwierciedlać poszczególne etapy tworzenia Strategii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 xml:space="preserve">np.: warsztaty robocze w trakcie tworzenia dokumentu. Dla potrzeb przeprowadzenia procesu konsultacji społecznych istnieje możliwość, iż Zamawiający udostępni Wykonawcy bezpłatnie salę </w:t>
      </w:r>
      <w:r w:rsidR="00F94F5F" w:rsidRPr="00AC09E9">
        <w:rPr>
          <w:rFonts w:eastAsia="Times New Roman" w:cs="Times New Roman"/>
          <w:sz w:val="24"/>
          <w:szCs w:val="24"/>
          <w:lang w:eastAsia="pl-PL"/>
        </w:rPr>
        <w:t xml:space="preserve">konferencyjną </w:t>
      </w:r>
      <w:r w:rsidRPr="00AC09E9">
        <w:rPr>
          <w:rFonts w:eastAsia="Times New Roman" w:cs="Times New Roman"/>
          <w:sz w:val="24"/>
          <w:szCs w:val="24"/>
          <w:lang w:eastAsia="pl-PL"/>
        </w:rPr>
        <w:t>Urzę</w:t>
      </w:r>
      <w:r w:rsidR="00F94F5F" w:rsidRPr="00AC09E9">
        <w:rPr>
          <w:rFonts w:eastAsia="Times New Roman" w:cs="Times New Roman"/>
          <w:sz w:val="24"/>
          <w:szCs w:val="24"/>
          <w:lang w:eastAsia="pl-PL"/>
        </w:rPr>
        <w:t>du Gminy</w:t>
      </w:r>
      <w:r w:rsidR="001459A6" w:rsidRPr="00AC09E9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94F5F" w:rsidRPr="00AC09E9">
        <w:rPr>
          <w:rFonts w:eastAsia="Times New Roman" w:cs="Times New Roman"/>
          <w:sz w:val="24"/>
          <w:szCs w:val="24"/>
          <w:lang w:eastAsia="pl-PL"/>
        </w:rPr>
        <w:t>Radziejowice</w:t>
      </w:r>
      <w:r w:rsidRPr="00AC09E9">
        <w:rPr>
          <w:rFonts w:eastAsia="Times New Roman" w:cs="Times New Roman"/>
          <w:sz w:val="24"/>
          <w:szCs w:val="24"/>
          <w:lang w:eastAsia="pl-PL"/>
        </w:rPr>
        <w:t>, w której będą mogły odbywać się spotkania i warsztaty - po wcześniejszym ustaleniu i zaakceptowaniu terminów.</w:t>
      </w:r>
    </w:p>
    <w:p w:rsidR="009D330C" w:rsidRPr="00AC09E9" w:rsidRDefault="009D330C" w:rsidP="00AC09E9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AC09E9">
        <w:rPr>
          <w:rFonts w:eastAsia="Times New Roman" w:cs="Times New Roman"/>
          <w:sz w:val="24"/>
          <w:szCs w:val="24"/>
          <w:lang w:eastAsia="pl-PL"/>
        </w:rPr>
        <w:t>Wykonawca będzie zobowiązany sporządzić raport z procesu konsultacji społecznych, w którym winien znaleźć się opis przebiegu konsultacji, ich podsumowanie oraz zbiorcze zestawienie zgłoszonych uwag z rekomendacją do ich wprowadzenia lub uzasadnieniem do ich nie wprowadzania. Wykonawca będzie zobowiązany do dokonania zmian zapisów Strategii zgodnie z wynikami raportu z konsultacji.</w:t>
      </w:r>
    </w:p>
    <w:sectPr w:rsidR="009D330C" w:rsidRPr="00AC09E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FD7" w:rsidRDefault="00E15FD7" w:rsidP="001459A6">
      <w:pPr>
        <w:spacing w:after="0" w:line="240" w:lineRule="auto"/>
      </w:pPr>
      <w:r>
        <w:separator/>
      </w:r>
    </w:p>
  </w:endnote>
  <w:endnote w:type="continuationSeparator" w:id="0">
    <w:p w:rsidR="00E15FD7" w:rsidRDefault="00E15FD7" w:rsidP="00145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FD7" w:rsidRDefault="00E15FD7" w:rsidP="001459A6">
      <w:pPr>
        <w:spacing w:after="0" w:line="240" w:lineRule="auto"/>
      </w:pPr>
      <w:r>
        <w:separator/>
      </w:r>
    </w:p>
  </w:footnote>
  <w:footnote w:type="continuationSeparator" w:id="0">
    <w:p w:rsidR="00E15FD7" w:rsidRDefault="00E15FD7" w:rsidP="00145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9A6" w:rsidRPr="001459A6" w:rsidRDefault="001459A6" w:rsidP="001459A6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1459A6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2152650" cy="5810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459A6" w:rsidRDefault="001459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5AE1"/>
    <w:multiLevelType w:val="multilevel"/>
    <w:tmpl w:val="59880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721CD"/>
    <w:multiLevelType w:val="multilevel"/>
    <w:tmpl w:val="EAF8B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A7D94"/>
    <w:multiLevelType w:val="multilevel"/>
    <w:tmpl w:val="C7D0E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71168"/>
    <w:multiLevelType w:val="multilevel"/>
    <w:tmpl w:val="E45C4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784812"/>
    <w:multiLevelType w:val="multilevel"/>
    <w:tmpl w:val="4B849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5A6B29"/>
    <w:multiLevelType w:val="multilevel"/>
    <w:tmpl w:val="C7E2B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1055B1"/>
    <w:multiLevelType w:val="multilevel"/>
    <w:tmpl w:val="6F5C9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5513D4"/>
    <w:multiLevelType w:val="multilevel"/>
    <w:tmpl w:val="DFEAC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9222B6"/>
    <w:multiLevelType w:val="multilevel"/>
    <w:tmpl w:val="970E7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327B4CE1"/>
    <w:multiLevelType w:val="multilevel"/>
    <w:tmpl w:val="0FFE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3733D7"/>
    <w:multiLevelType w:val="multilevel"/>
    <w:tmpl w:val="0C28A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9F49CD"/>
    <w:multiLevelType w:val="multilevel"/>
    <w:tmpl w:val="F7FE7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CC299D"/>
    <w:multiLevelType w:val="multilevel"/>
    <w:tmpl w:val="6854B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4507A3"/>
    <w:multiLevelType w:val="multilevel"/>
    <w:tmpl w:val="43928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CC4872"/>
    <w:multiLevelType w:val="multilevel"/>
    <w:tmpl w:val="02A4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A23C50"/>
    <w:multiLevelType w:val="multilevel"/>
    <w:tmpl w:val="322C3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F40790"/>
    <w:multiLevelType w:val="multilevel"/>
    <w:tmpl w:val="8DE28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C482BFF"/>
    <w:multiLevelType w:val="multilevel"/>
    <w:tmpl w:val="2BC8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11"/>
  </w:num>
  <w:num w:numId="5">
    <w:abstractNumId w:val="10"/>
  </w:num>
  <w:num w:numId="6">
    <w:abstractNumId w:val="9"/>
  </w:num>
  <w:num w:numId="7">
    <w:abstractNumId w:val="14"/>
  </w:num>
  <w:num w:numId="8">
    <w:abstractNumId w:val="17"/>
  </w:num>
  <w:num w:numId="9">
    <w:abstractNumId w:val="4"/>
  </w:num>
  <w:num w:numId="10">
    <w:abstractNumId w:val="3"/>
  </w:num>
  <w:num w:numId="11">
    <w:abstractNumId w:val="2"/>
  </w:num>
  <w:num w:numId="12">
    <w:abstractNumId w:val="5"/>
  </w:num>
  <w:num w:numId="13">
    <w:abstractNumId w:val="1"/>
  </w:num>
  <w:num w:numId="14">
    <w:abstractNumId w:val="0"/>
  </w:num>
  <w:num w:numId="15">
    <w:abstractNumId w:val="13"/>
  </w:num>
  <w:num w:numId="16">
    <w:abstractNumId w:val="7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25F"/>
    <w:rsid w:val="000E7941"/>
    <w:rsid w:val="001459A6"/>
    <w:rsid w:val="001C4072"/>
    <w:rsid w:val="001C4371"/>
    <w:rsid w:val="003F6184"/>
    <w:rsid w:val="00541282"/>
    <w:rsid w:val="009D330C"/>
    <w:rsid w:val="00AC09E9"/>
    <w:rsid w:val="00CB02D9"/>
    <w:rsid w:val="00E15FD7"/>
    <w:rsid w:val="00E2025F"/>
    <w:rsid w:val="00E662F5"/>
    <w:rsid w:val="00F3561F"/>
    <w:rsid w:val="00F35D3A"/>
    <w:rsid w:val="00F9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FAAD1"/>
  <w15:chartTrackingRefBased/>
  <w15:docId w15:val="{49065C1A-6C8B-4186-B90B-DE1445439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1459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459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5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9A6"/>
  </w:style>
  <w:style w:type="paragraph" w:styleId="Stopka">
    <w:name w:val="footer"/>
    <w:basedOn w:val="Normalny"/>
    <w:link w:val="StopkaZnak"/>
    <w:uiPriority w:val="99"/>
    <w:unhideWhenUsed/>
    <w:rsid w:val="00145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9A6"/>
  </w:style>
  <w:style w:type="character" w:styleId="Hipercze">
    <w:name w:val="Hyperlink"/>
    <w:basedOn w:val="Domylnaczcionkaakapitu"/>
    <w:uiPriority w:val="99"/>
    <w:unhideWhenUsed/>
    <w:rsid w:val="001459A6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94F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3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9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5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6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8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4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770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radziej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784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2016-04-27T15:18:00Z</dcterms:created>
  <dcterms:modified xsi:type="dcterms:W3CDTF">2016-04-27T18:37:00Z</dcterms:modified>
</cp:coreProperties>
</file>